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DDFBB" w14:textId="45F65F92" w:rsidR="00B16C6A" w:rsidRPr="00B5724A" w:rsidRDefault="00C97FBF" w:rsidP="00B16C6A">
      <w:pPr>
        <w:pStyle w:val="Pamatteksts3"/>
        <w:rPr>
          <w:sz w:val="24"/>
        </w:rPr>
      </w:pPr>
      <w:r w:rsidRPr="00B5724A">
        <w:rPr>
          <w:sz w:val="24"/>
        </w:rPr>
        <w:t>Iepirkums</w:t>
      </w:r>
    </w:p>
    <w:p w14:paraId="0C5E9653" w14:textId="77777777" w:rsidR="00C97FBF" w:rsidRPr="00B5724A" w:rsidRDefault="00C97FBF" w:rsidP="00C97FBF">
      <w:pPr>
        <w:jc w:val="center"/>
        <w:rPr>
          <w:b/>
          <w:bCs/>
        </w:rPr>
      </w:pPr>
      <w:r w:rsidRPr="00B5724A">
        <w:rPr>
          <w:b/>
          <w:bCs/>
        </w:rPr>
        <w:t>“</w:t>
      </w:r>
      <w:proofErr w:type="spellStart"/>
      <w:r w:rsidRPr="00B5724A">
        <w:rPr>
          <w:rFonts w:eastAsia="Calibri"/>
          <w:b/>
          <w:bCs/>
        </w:rPr>
        <w:t>Rotaļu</w:t>
      </w:r>
      <w:proofErr w:type="spellEnd"/>
      <w:r w:rsidRPr="00B5724A">
        <w:rPr>
          <w:rFonts w:eastAsia="Calibri"/>
          <w:b/>
          <w:bCs/>
        </w:rPr>
        <w:t xml:space="preserve"> </w:t>
      </w:r>
      <w:proofErr w:type="spellStart"/>
      <w:r w:rsidRPr="00B5724A">
        <w:rPr>
          <w:rFonts w:eastAsia="Calibri"/>
          <w:b/>
          <w:bCs/>
        </w:rPr>
        <w:t>laukuma</w:t>
      </w:r>
      <w:proofErr w:type="spellEnd"/>
      <w:r w:rsidRPr="00B5724A">
        <w:rPr>
          <w:rFonts w:eastAsia="Calibri"/>
          <w:b/>
          <w:bCs/>
        </w:rPr>
        <w:t xml:space="preserve"> un </w:t>
      </w:r>
      <w:proofErr w:type="spellStart"/>
      <w:r w:rsidRPr="00B5724A">
        <w:rPr>
          <w:rFonts w:eastAsia="Calibri"/>
          <w:b/>
          <w:bCs/>
        </w:rPr>
        <w:t>vingrošanas</w:t>
      </w:r>
      <w:proofErr w:type="spellEnd"/>
      <w:r w:rsidRPr="00B5724A">
        <w:rPr>
          <w:rFonts w:eastAsia="Calibri"/>
          <w:b/>
          <w:bCs/>
        </w:rPr>
        <w:t xml:space="preserve"> </w:t>
      </w:r>
      <w:proofErr w:type="spellStart"/>
      <w:r w:rsidRPr="00B5724A">
        <w:rPr>
          <w:rFonts w:eastAsia="Calibri"/>
          <w:b/>
          <w:bCs/>
        </w:rPr>
        <w:t>laukuma</w:t>
      </w:r>
      <w:proofErr w:type="spellEnd"/>
      <w:r w:rsidRPr="00B5724A">
        <w:rPr>
          <w:rFonts w:eastAsia="Calibri"/>
          <w:b/>
          <w:bCs/>
        </w:rPr>
        <w:t xml:space="preserve"> </w:t>
      </w:r>
      <w:proofErr w:type="spellStart"/>
      <w:r w:rsidRPr="00B5724A">
        <w:rPr>
          <w:rFonts w:eastAsia="Calibri"/>
          <w:b/>
          <w:bCs/>
        </w:rPr>
        <w:t>izbūve</w:t>
      </w:r>
      <w:proofErr w:type="spellEnd"/>
      <w:r w:rsidRPr="00B5724A">
        <w:rPr>
          <w:rFonts w:eastAsia="Calibri"/>
          <w:b/>
          <w:bCs/>
        </w:rPr>
        <w:t xml:space="preserve"> </w:t>
      </w:r>
      <w:proofErr w:type="spellStart"/>
      <w:r w:rsidRPr="00B5724A">
        <w:rPr>
          <w:rFonts w:eastAsia="Calibri"/>
          <w:b/>
          <w:bCs/>
        </w:rPr>
        <w:t>Maskavas</w:t>
      </w:r>
      <w:proofErr w:type="spellEnd"/>
      <w:r w:rsidRPr="00B5724A">
        <w:rPr>
          <w:rFonts w:eastAsia="Calibri"/>
          <w:b/>
          <w:bCs/>
        </w:rPr>
        <w:t xml:space="preserve"> </w:t>
      </w:r>
      <w:proofErr w:type="spellStart"/>
      <w:r w:rsidRPr="00B5724A">
        <w:rPr>
          <w:rFonts w:eastAsia="Calibri"/>
          <w:b/>
          <w:bCs/>
        </w:rPr>
        <w:t>dārzā</w:t>
      </w:r>
      <w:proofErr w:type="spellEnd"/>
      <w:r w:rsidRPr="00B5724A">
        <w:rPr>
          <w:rFonts w:eastAsia="Calibri"/>
          <w:b/>
          <w:bCs/>
        </w:rPr>
        <w:t>,</w:t>
      </w:r>
      <w:r w:rsidRPr="00B5724A">
        <w:rPr>
          <w:b/>
          <w:bCs/>
        </w:rPr>
        <w:t xml:space="preserve"> </w:t>
      </w:r>
      <w:proofErr w:type="spellStart"/>
      <w:r w:rsidRPr="00B5724A">
        <w:rPr>
          <w:b/>
          <w:bCs/>
        </w:rPr>
        <w:t>Rīgā</w:t>
      </w:r>
      <w:proofErr w:type="spellEnd"/>
      <w:r w:rsidRPr="00B5724A">
        <w:rPr>
          <w:b/>
          <w:bCs/>
        </w:rPr>
        <w:t>”</w:t>
      </w:r>
    </w:p>
    <w:p w14:paraId="23B99DF5" w14:textId="77777777" w:rsidR="00C97FBF" w:rsidRPr="00B5724A" w:rsidRDefault="00C97FBF" w:rsidP="00C97FBF">
      <w:pPr>
        <w:jc w:val="center"/>
        <w:rPr>
          <w:b/>
          <w:bCs/>
        </w:rPr>
      </w:pPr>
      <w:proofErr w:type="spellStart"/>
      <w:r w:rsidRPr="00B5724A">
        <w:rPr>
          <w:b/>
          <w:bCs/>
        </w:rPr>
        <w:t>identifikācijas</w:t>
      </w:r>
      <w:proofErr w:type="spellEnd"/>
      <w:r w:rsidRPr="00B5724A">
        <w:rPr>
          <w:b/>
          <w:bCs/>
        </w:rPr>
        <w:t xml:space="preserve"> Nr. RD DMV 2022/04</w:t>
      </w:r>
    </w:p>
    <w:p w14:paraId="5F0BAEBD" w14:textId="77777777" w:rsidR="002A35B8" w:rsidRPr="00B5724A" w:rsidRDefault="002A35B8" w:rsidP="002A35B8">
      <w:pPr>
        <w:jc w:val="center"/>
        <w:rPr>
          <w:b/>
          <w:bCs/>
          <w:highlight w:val="yellow"/>
        </w:rPr>
      </w:pPr>
    </w:p>
    <w:p w14:paraId="5E3B7501" w14:textId="77777777" w:rsidR="00EA5786" w:rsidRPr="00B5724A" w:rsidRDefault="00EA5786" w:rsidP="001B5D2B">
      <w:pPr>
        <w:jc w:val="both"/>
        <w:rPr>
          <w:rFonts w:eastAsiaTheme="minorHAnsi"/>
          <w:b/>
          <w:highlight w:val="yellow"/>
          <w:lang w:val="lv-LV"/>
        </w:rPr>
      </w:pPr>
    </w:p>
    <w:p w14:paraId="2A049A3B" w14:textId="17BD4214" w:rsidR="00D45AC2" w:rsidRPr="00B5724A" w:rsidRDefault="00D45AC2" w:rsidP="001B5D2B">
      <w:pPr>
        <w:jc w:val="both"/>
        <w:rPr>
          <w:rFonts w:eastAsiaTheme="minorHAnsi"/>
          <w:lang w:val="lv-LV"/>
        </w:rPr>
      </w:pPr>
      <w:r w:rsidRPr="00B5724A">
        <w:rPr>
          <w:rFonts w:eastAsiaTheme="minorHAnsi"/>
          <w:b/>
          <w:lang w:val="lv-LV"/>
        </w:rPr>
        <w:t>JAUTĀJUMS:</w:t>
      </w:r>
      <w:r w:rsidRPr="00B5724A">
        <w:rPr>
          <w:rFonts w:eastAsiaTheme="minorHAnsi"/>
          <w:lang w:val="lv-LV"/>
        </w:rPr>
        <w:t xml:space="preserve"> </w:t>
      </w:r>
    </w:p>
    <w:p w14:paraId="37B5EF1D" w14:textId="4B20FE40" w:rsidR="00C97FBF" w:rsidRPr="00B5724A" w:rsidRDefault="00C97FBF" w:rsidP="007E53E2">
      <w:pPr>
        <w:ind w:firstLine="709"/>
        <w:jc w:val="both"/>
        <w:rPr>
          <w:lang w:val="lv-LV"/>
        </w:rPr>
      </w:pPr>
      <w:r w:rsidRPr="00B5724A">
        <w:rPr>
          <w:rFonts w:eastAsiaTheme="minorHAnsi"/>
          <w:lang w:val="lv-LV"/>
        </w:rPr>
        <w:t>Iepirkuma nolikuma 4.1.4.apakšpunkt</w:t>
      </w:r>
      <w:r w:rsidR="004E7F65" w:rsidRPr="00B5724A">
        <w:rPr>
          <w:rFonts w:eastAsiaTheme="minorHAnsi"/>
          <w:lang w:val="lv-LV"/>
        </w:rPr>
        <w:t>s</w:t>
      </w:r>
      <w:r w:rsidRPr="00B5724A">
        <w:rPr>
          <w:rFonts w:eastAsiaTheme="minorHAnsi"/>
          <w:lang w:val="lv-LV"/>
        </w:rPr>
        <w:t xml:space="preserve"> nosaka, ka Pretendentam jāiesniedz n</w:t>
      </w:r>
      <w:r w:rsidRPr="00B5724A">
        <w:rPr>
          <w:lang w:val="lv-LV"/>
        </w:rPr>
        <w:t xml:space="preserve">eatkarīgas sertificēšanas institūcijas izsniegts sertifikāts, kas apliecina piedāvāto rotaļu iekārtu atbilstību </w:t>
      </w:r>
      <w:r w:rsidRPr="00B5724A">
        <w:rPr>
          <w:b/>
          <w:bCs/>
          <w:lang w:val="lv-LV"/>
        </w:rPr>
        <w:t>LVS EN16630</w:t>
      </w:r>
      <w:r w:rsidRPr="00B5724A">
        <w:rPr>
          <w:lang w:val="lv-LV"/>
        </w:rPr>
        <w:t xml:space="preserve"> (sporta un vingrošanas laukumu drošības prasības) un </w:t>
      </w:r>
      <w:r w:rsidRPr="00B5724A">
        <w:rPr>
          <w:b/>
          <w:bCs/>
          <w:lang w:val="lv-LV"/>
        </w:rPr>
        <w:t>LVS EN1176</w:t>
      </w:r>
      <w:r w:rsidRPr="00B5724A">
        <w:rPr>
          <w:lang w:val="lv-LV"/>
        </w:rPr>
        <w:t xml:space="preserve"> (bērnu rotaļu laukumu drošības prasības, lai iekārtu varētu novietot bērnu rotaļu laukuma teritorijā) standartiem. Sertifikātos jābūt norādītiem iekārtu kodiem un pamata aprakstam, kas ļauj identificēt iekārtas. </w:t>
      </w:r>
    </w:p>
    <w:p w14:paraId="03B9C64E" w14:textId="77777777" w:rsidR="009244AA" w:rsidRPr="00B5724A" w:rsidRDefault="00C97FBF" w:rsidP="009244AA">
      <w:pPr>
        <w:ind w:firstLine="709"/>
        <w:jc w:val="both"/>
        <w:rPr>
          <w:lang w:val="lv-LV"/>
        </w:rPr>
      </w:pPr>
      <w:bookmarkStart w:id="0" w:name="_Hlk93044638"/>
      <w:r w:rsidRPr="00B5724A">
        <w:rPr>
          <w:lang w:val="lv-LV"/>
        </w:rPr>
        <w:t xml:space="preserve">Publisko spēļu un rekreācijas laukumu un tajos uzstādīto spēļu vai citu aktivitāšu iekārtu un aprīkojuma uzraudzības un kontroles kārtību Latvijā regulē Ministru kabineta noteikumi Nr. 18 “Spēļu un rekreācijas laukumu drošuma noteikumi”. Vingrošanās un rotaļu laukuma iekārtas ir attiecināmas kā nereglamentētās sfēras produkts, tas nav būvizstrādājums un neprasa obligātu sertifikāciju. </w:t>
      </w:r>
    </w:p>
    <w:p w14:paraId="7825A6AE" w14:textId="6198F527" w:rsidR="00C97FBF" w:rsidRPr="00B5724A" w:rsidRDefault="00C97FBF" w:rsidP="009244AA">
      <w:pPr>
        <w:ind w:firstLine="709"/>
        <w:jc w:val="both"/>
        <w:rPr>
          <w:rFonts w:eastAsiaTheme="minorHAnsi"/>
          <w:lang w:val="lv-LV"/>
        </w:rPr>
      </w:pPr>
      <w:r w:rsidRPr="00B5724A">
        <w:rPr>
          <w:lang w:val="lv-LV"/>
        </w:rPr>
        <w:t>Vai var pierādīt rotaļu un vingrošanas iekārtu atbilstību standartiem LVS NE 16630 un LVS NE1176 ar detalizētu ražotāja dokumentāciju, kas ir sastādīta saska</w:t>
      </w:r>
      <w:r w:rsidR="009244AA" w:rsidRPr="00B5724A">
        <w:rPr>
          <w:lang w:val="lv-LV"/>
        </w:rPr>
        <w:t>ņ</w:t>
      </w:r>
      <w:r w:rsidRPr="00B5724A">
        <w:rPr>
          <w:lang w:val="lv-LV"/>
        </w:rPr>
        <w:t>ā ar MK noteikumu Nr.18 III 13.punktu?</w:t>
      </w:r>
    </w:p>
    <w:bookmarkEnd w:id="0"/>
    <w:p w14:paraId="0B8BE00E" w14:textId="77777777" w:rsidR="00AB2232" w:rsidRPr="00B5724A" w:rsidRDefault="00AB2232" w:rsidP="00327179">
      <w:pPr>
        <w:jc w:val="both"/>
        <w:rPr>
          <w:b/>
          <w:lang w:val="lv-LV"/>
        </w:rPr>
      </w:pPr>
    </w:p>
    <w:p w14:paraId="5BCF8526" w14:textId="383605DE" w:rsidR="00327179" w:rsidRPr="00B5724A" w:rsidRDefault="00327179" w:rsidP="00327179">
      <w:pPr>
        <w:jc w:val="both"/>
        <w:rPr>
          <w:b/>
          <w:lang w:val="lv-LV"/>
        </w:rPr>
      </w:pPr>
      <w:r w:rsidRPr="00B5724A">
        <w:rPr>
          <w:b/>
          <w:lang w:val="lv-LV"/>
        </w:rPr>
        <w:t>ATBILDE:</w:t>
      </w:r>
    </w:p>
    <w:p w14:paraId="7C4A13B3" w14:textId="77777777" w:rsidR="00B5724A" w:rsidRPr="00B5724A" w:rsidRDefault="00B5724A" w:rsidP="00B5724A">
      <w:pPr>
        <w:autoSpaceDE w:val="0"/>
        <w:autoSpaceDN w:val="0"/>
        <w:adjustRightInd w:val="0"/>
        <w:ind w:firstLine="720"/>
        <w:jc w:val="both"/>
        <w:rPr>
          <w:i/>
          <w:iCs/>
          <w:u w:val="single"/>
          <w:lang w:val="lv-LV"/>
        </w:rPr>
      </w:pPr>
      <w:bookmarkStart w:id="1" w:name="_Hlk49340104"/>
      <w:r w:rsidRPr="00B5724A">
        <w:rPr>
          <w:lang w:val="lv-LV"/>
        </w:rPr>
        <w:t xml:space="preserve">07.01.2020. Ministru kabineta noteikumu Nr. 18 “Spēļu un rekreācijas laukumu drošuma noteikumi” (turpmāk – Noteikumi) I daļas 7. punktā noteikts, ka </w:t>
      </w:r>
      <w:r w:rsidRPr="00B5724A">
        <w:rPr>
          <w:i/>
          <w:iCs/>
          <w:lang w:val="lv-LV"/>
        </w:rPr>
        <w:t xml:space="preserve">“Publiskais spēļu un rekreācijas laukums un tajā uzstādītā spēļu vai citu aktivitāšu iekārta, kas atbilst piemērojamo standartu vai to daļu prasībām (turpmāk – piemērojamie standarti), </w:t>
      </w:r>
      <w:r w:rsidRPr="00B5724A">
        <w:rPr>
          <w:i/>
          <w:iCs/>
          <w:u w:val="single"/>
          <w:lang w:val="lv-LV"/>
        </w:rPr>
        <w:t>uzskatāma par atbilstošu tām šajos noteikumos minētajām drošuma prasībām, kuras aptver šie standarti”.</w:t>
      </w:r>
    </w:p>
    <w:p w14:paraId="40E2A2ED" w14:textId="77777777" w:rsidR="00B5724A" w:rsidRPr="00B5724A" w:rsidRDefault="00B5724A" w:rsidP="00B5724A">
      <w:pPr>
        <w:autoSpaceDE w:val="0"/>
        <w:autoSpaceDN w:val="0"/>
        <w:adjustRightInd w:val="0"/>
        <w:ind w:firstLine="720"/>
        <w:jc w:val="both"/>
        <w:rPr>
          <w:shd w:val="clear" w:color="auto" w:fill="FFFFFF"/>
          <w:lang w:val="lv-LV"/>
        </w:rPr>
      </w:pPr>
      <w:r w:rsidRPr="00B5724A">
        <w:rPr>
          <w:lang w:val="lv-LV"/>
        </w:rPr>
        <w:t xml:space="preserve">Nacionālā standartizācijas institūcija savā tīmekļvietnē publicē to piemērojamo standartu sarakstu, </w:t>
      </w:r>
      <w:r w:rsidRPr="00B5724A">
        <w:rPr>
          <w:u w:val="single"/>
          <w:lang w:val="lv-LV"/>
        </w:rPr>
        <w:t xml:space="preserve">kurus var piemērot šo noteikumu prasību izpildei, tai skaitā </w:t>
      </w:r>
      <w:r w:rsidRPr="00B5724A">
        <w:rPr>
          <w:shd w:val="clear" w:color="auto" w:fill="FFFFFF"/>
          <w:lang w:val="lv-LV"/>
        </w:rPr>
        <w:t xml:space="preserve">LVS EN 1176 “Spēļu laukumu aprīkojums un segums. Vispārīgās drošuma prasības un testēšanas metodes” un LVS EN 16630 “Pastāvīgi uzstādītas āra </w:t>
      </w:r>
      <w:proofErr w:type="spellStart"/>
      <w:r w:rsidRPr="00B5724A">
        <w:rPr>
          <w:shd w:val="clear" w:color="auto" w:fill="FFFFFF"/>
          <w:lang w:val="lv-LV"/>
        </w:rPr>
        <w:t>fitnesa</w:t>
      </w:r>
      <w:proofErr w:type="spellEnd"/>
      <w:r w:rsidRPr="00B5724A">
        <w:rPr>
          <w:shd w:val="clear" w:color="auto" w:fill="FFFFFF"/>
          <w:lang w:val="lv-LV"/>
        </w:rPr>
        <w:t xml:space="preserve"> iekārtas. Drošuma prasības un testēšanas metodes”.</w:t>
      </w:r>
    </w:p>
    <w:p w14:paraId="51914353" w14:textId="77777777" w:rsidR="00B5724A" w:rsidRPr="00B5724A" w:rsidRDefault="00B5724A" w:rsidP="00B5724A">
      <w:pPr>
        <w:ind w:firstLine="720"/>
        <w:jc w:val="both"/>
        <w:rPr>
          <w:u w:val="single"/>
          <w:lang w:val="lv-LV"/>
        </w:rPr>
      </w:pPr>
      <w:r w:rsidRPr="00B5724A">
        <w:rPr>
          <w:lang w:val="lv-LV"/>
        </w:rPr>
        <w:t xml:space="preserve">Iepirkuma pretendentu iesniegto piedāvājumu </w:t>
      </w:r>
      <w:r w:rsidRPr="00B5724A">
        <w:rPr>
          <w:u w:val="single"/>
          <w:lang w:val="lv-LV"/>
        </w:rPr>
        <w:t>izvērtēšanas  procesā nav paredzēts piesaistīt sertificētus nozares ekspertus piedāvāto  rotaļu un sporta ierīču atbilstības Noteikumu  drošuma prasībām izvērtēšanai.</w:t>
      </w:r>
    </w:p>
    <w:p w14:paraId="4CD0B034" w14:textId="77777777" w:rsidR="00B5724A" w:rsidRPr="00B5724A" w:rsidRDefault="00B5724A" w:rsidP="00B5724A">
      <w:pPr>
        <w:ind w:firstLine="720"/>
        <w:jc w:val="both"/>
        <w:rPr>
          <w:u w:val="single"/>
          <w:lang w:val="lv-LV"/>
        </w:rPr>
      </w:pPr>
      <w:r w:rsidRPr="00B5724A">
        <w:rPr>
          <w:shd w:val="clear" w:color="auto" w:fill="FFFFFF"/>
          <w:lang w:val="lv-LV"/>
        </w:rPr>
        <w:t xml:space="preserve"> Patērētāju tiesību aizsardzības centra izstrādātajā dokumentā ”Vadlīnijas bērnu spēļu laukumu valdītājiem / </w:t>
      </w:r>
      <w:proofErr w:type="spellStart"/>
      <w:r w:rsidRPr="00B5724A">
        <w:rPr>
          <w:shd w:val="clear" w:color="auto" w:fill="FFFFFF"/>
          <w:lang w:val="lv-LV"/>
        </w:rPr>
        <w:t>apsaimniekotājiem</w:t>
      </w:r>
      <w:proofErr w:type="spellEnd"/>
      <w:r w:rsidRPr="00B5724A">
        <w:rPr>
          <w:shd w:val="clear" w:color="auto" w:fill="FFFFFF"/>
          <w:lang w:val="lv-LV"/>
        </w:rPr>
        <w:t xml:space="preserve"> par drošuma prasībām bērnu spēļu laukumiem publiskai lietošanai” 3. daļā “ PIEGĀDE UN UZSTĀDĪŠANA” Ir teikts: “</w:t>
      </w:r>
      <w:r w:rsidRPr="00B5724A">
        <w:rPr>
          <w:u w:val="single"/>
          <w:shd w:val="clear" w:color="auto" w:fill="FFFFFF"/>
          <w:lang w:val="lv-LV"/>
        </w:rPr>
        <w:t>Lai izvērtētu ražotāja tehnisko dokumentāciju, jābūt profesionālām zināšanām par standartos ietvertajām prasībām</w:t>
      </w:r>
      <w:r w:rsidRPr="00B5724A">
        <w:rPr>
          <w:shd w:val="clear" w:color="auto" w:fill="FFFFFF"/>
          <w:lang w:val="lv-LV"/>
        </w:rPr>
        <w:t>”, kas norāda uz to, ka iepirkuma komisija nevar izvērtēt piedāvātās iekārtas, kurām nav sertifikātu par atbilstību standartiem.</w:t>
      </w:r>
    </w:p>
    <w:p w14:paraId="7D0487B0" w14:textId="77777777" w:rsidR="00B5724A" w:rsidRPr="00B5724A" w:rsidRDefault="00B5724A" w:rsidP="00B5724A">
      <w:pPr>
        <w:ind w:firstLine="720"/>
        <w:jc w:val="both"/>
        <w:rPr>
          <w:rFonts w:eastAsia="Calibri"/>
          <w:shd w:val="clear" w:color="auto" w:fill="FFFFFF"/>
          <w:lang w:val="lv-LV"/>
        </w:rPr>
      </w:pPr>
      <w:r w:rsidRPr="00B5724A">
        <w:rPr>
          <w:lang w:val="lv-LV"/>
        </w:rPr>
        <w:t>Ņemot vērā iepriekšminēto un, lai nodrošinātu rotaļu laukuma un vingrošanas laukuma elementu drošuma prasības atbilstoši Noteikumu prasībām un pēc uzstādīšanas pārbaudē netiktu konstatētas atkāpes no Noteikumu drošuma prasībām, Pretendenta iesniegtajam piedāvājumam ir jāatbilst Iepirkuma nolikuma 4.1.4. apakšpunkta prasībām.</w:t>
      </w:r>
    </w:p>
    <w:p w14:paraId="446512FC" w14:textId="77777777" w:rsidR="00AB2232" w:rsidRPr="00B5724A" w:rsidRDefault="00AB2232" w:rsidP="00AB2232">
      <w:pPr>
        <w:ind w:right="-1" w:firstLine="567"/>
        <w:jc w:val="both"/>
        <w:rPr>
          <w:lang w:val="lv-LV"/>
        </w:rPr>
      </w:pPr>
    </w:p>
    <w:p w14:paraId="55C24314" w14:textId="77777777" w:rsidR="00AB2232" w:rsidRPr="00B5724A" w:rsidRDefault="00AB2232" w:rsidP="00AB2232">
      <w:pPr>
        <w:ind w:firstLine="709"/>
        <w:rPr>
          <w:lang w:val="lv-LV"/>
        </w:rPr>
      </w:pPr>
    </w:p>
    <w:p w14:paraId="209EB9B5" w14:textId="77777777" w:rsidR="00AB2232" w:rsidRPr="00B5724A" w:rsidRDefault="00AB2232" w:rsidP="00AB2232">
      <w:pPr>
        <w:ind w:firstLine="567"/>
        <w:jc w:val="both"/>
        <w:rPr>
          <w:lang w:val="lv-LV"/>
        </w:rPr>
      </w:pPr>
    </w:p>
    <w:p w14:paraId="11123DDB" w14:textId="77777777" w:rsidR="00AB2232" w:rsidRPr="00B5724A" w:rsidRDefault="00AB2232" w:rsidP="00AB2232">
      <w:pPr>
        <w:jc w:val="both"/>
        <w:rPr>
          <w:rFonts w:eastAsiaTheme="minorHAnsi"/>
          <w:lang w:val="lv-LV"/>
        </w:rPr>
      </w:pPr>
    </w:p>
    <w:p w14:paraId="68A10556" w14:textId="77777777" w:rsidR="00D45AC2" w:rsidRPr="00B5724A" w:rsidRDefault="00D45AC2" w:rsidP="001B5D2B">
      <w:pPr>
        <w:jc w:val="both"/>
        <w:rPr>
          <w:highlight w:val="yellow"/>
          <w:lang w:val="lv-LV"/>
        </w:rPr>
      </w:pPr>
    </w:p>
    <w:bookmarkEnd w:id="1"/>
    <w:p w14:paraId="356D6557" w14:textId="77777777" w:rsidR="00D45AC2" w:rsidRPr="00B5724A" w:rsidRDefault="00D45AC2" w:rsidP="001B5D2B">
      <w:pPr>
        <w:tabs>
          <w:tab w:val="left" w:pos="709"/>
          <w:tab w:val="left" w:pos="900"/>
          <w:tab w:val="left" w:pos="1276"/>
        </w:tabs>
        <w:jc w:val="both"/>
        <w:rPr>
          <w:lang w:val="lv-LV"/>
        </w:rPr>
      </w:pPr>
    </w:p>
    <w:p w14:paraId="40D597AB" w14:textId="77777777" w:rsidR="00AD4AE0" w:rsidRPr="00B5724A" w:rsidRDefault="00AD4AE0" w:rsidP="00D45AC2">
      <w:pPr>
        <w:rPr>
          <w:lang w:val="lv-LV"/>
        </w:rPr>
      </w:pPr>
    </w:p>
    <w:p w14:paraId="5D284586" w14:textId="77777777" w:rsidR="000847A3" w:rsidRPr="00B5724A" w:rsidRDefault="000847A3" w:rsidP="000847A3">
      <w:pPr>
        <w:jc w:val="both"/>
        <w:rPr>
          <w:rFonts w:eastAsiaTheme="minorHAnsi"/>
          <w:lang w:val="lv-LV"/>
        </w:rPr>
      </w:pPr>
    </w:p>
    <w:p w14:paraId="6D000DAD" w14:textId="77777777" w:rsidR="00AD4AE0" w:rsidRPr="00B5724A" w:rsidRDefault="00AD4AE0" w:rsidP="00D45AC2">
      <w:pPr>
        <w:rPr>
          <w:lang w:val="lv-LV"/>
        </w:rPr>
      </w:pPr>
    </w:p>
    <w:sectPr w:rsidR="00AD4AE0" w:rsidRPr="00B5724A" w:rsidSect="00D45AC2">
      <w:pgSz w:w="11906" w:h="16838"/>
      <w:pgMar w:top="851"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84AD6"/>
    <w:multiLevelType w:val="hybridMultilevel"/>
    <w:tmpl w:val="0A605ACA"/>
    <w:lvl w:ilvl="0" w:tplc="511E6998">
      <w:start w:val="1"/>
      <w:numFmt w:val="bullet"/>
      <w:lvlText w:val=""/>
      <w:lvlJc w:val="left"/>
      <w:pPr>
        <w:ind w:left="1440" w:hanging="360"/>
      </w:pPr>
      <w:rPr>
        <w:rFonts w:ascii="Symbol" w:hAnsi="Symbol" w:hint="default"/>
        <w:color w:val="auto"/>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13EA1AC8"/>
    <w:multiLevelType w:val="hybridMultilevel"/>
    <w:tmpl w:val="513037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0D16E4E"/>
    <w:multiLevelType w:val="hybridMultilevel"/>
    <w:tmpl w:val="D2C8BB78"/>
    <w:lvl w:ilvl="0" w:tplc="CA56FCE0">
      <w:start w:val="1"/>
      <w:numFmt w:val="bullet"/>
      <w:lvlText w:val=""/>
      <w:lvlJc w:val="left"/>
      <w:pPr>
        <w:ind w:left="2160" w:hanging="360"/>
      </w:pPr>
      <w:rPr>
        <w:rFonts w:ascii="Symbol" w:hAnsi="Symbol" w:hint="default"/>
        <w:color w:val="2F5496" w:themeColor="accent1" w:themeShade="BF"/>
      </w:rPr>
    </w:lvl>
    <w:lvl w:ilvl="1" w:tplc="94589C28">
      <w:start w:val="1"/>
      <w:numFmt w:val="bullet"/>
      <w:lvlText w:val=""/>
      <w:lvlJc w:val="left"/>
      <w:pPr>
        <w:ind w:left="2160" w:hanging="360"/>
      </w:pPr>
      <w:rPr>
        <w:rFonts w:ascii="Symbol" w:hAnsi="Symbol" w:hint="default"/>
        <w:color w:val="auto"/>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4DEE6B63"/>
    <w:multiLevelType w:val="hybridMultilevel"/>
    <w:tmpl w:val="F11C4D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4241671"/>
    <w:multiLevelType w:val="hybridMultilevel"/>
    <w:tmpl w:val="0BC25A16"/>
    <w:lvl w:ilvl="0" w:tplc="833C13C0">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AC2"/>
    <w:rsid w:val="00007CD4"/>
    <w:rsid w:val="00073D6D"/>
    <w:rsid w:val="000847A3"/>
    <w:rsid w:val="001B5D2B"/>
    <w:rsid w:val="00230DA4"/>
    <w:rsid w:val="002A35B8"/>
    <w:rsid w:val="002B61EC"/>
    <w:rsid w:val="002D572D"/>
    <w:rsid w:val="00327179"/>
    <w:rsid w:val="003E473E"/>
    <w:rsid w:val="00435F8F"/>
    <w:rsid w:val="004E7F65"/>
    <w:rsid w:val="00570FA2"/>
    <w:rsid w:val="0057179F"/>
    <w:rsid w:val="005754A7"/>
    <w:rsid w:val="00575D5C"/>
    <w:rsid w:val="00591930"/>
    <w:rsid w:val="00632CB5"/>
    <w:rsid w:val="006E6F81"/>
    <w:rsid w:val="006F7F19"/>
    <w:rsid w:val="00770505"/>
    <w:rsid w:val="007E53E2"/>
    <w:rsid w:val="00844F2F"/>
    <w:rsid w:val="008B187D"/>
    <w:rsid w:val="009244AA"/>
    <w:rsid w:val="00983657"/>
    <w:rsid w:val="009A7313"/>
    <w:rsid w:val="00A01FB2"/>
    <w:rsid w:val="00A81BF8"/>
    <w:rsid w:val="00AB2232"/>
    <w:rsid w:val="00AD4AE0"/>
    <w:rsid w:val="00B01BEA"/>
    <w:rsid w:val="00B16C6A"/>
    <w:rsid w:val="00B5724A"/>
    <w:rsid w:val="00B66F51"/>
    <w:rsid w:val="00BC4F34"/>
    <w:rsid w:val="00C97FBF"/>
    <w:rsid w:val="00CE3C5A"/>
    <w:rsid w:val="00D45AC2"/>
    <w:rsid w:val="00DC1415"/>
    <w:rsid w:val="00E74B26"/>
    <w:rsid w:val="00EA5786"/>
    <w:rsid w:val="00EA63FD"/>
    <w:rsid w:val="00ED47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8AB7"/>
  <w15:chartTrackingRefBased/>
  <w15:docId w15:val="{2A2A1C2D-31C0-403A-A803-EFEF96CD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5AC2"/>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t">
    <w:name w:val="st"/>
    <w:basedOn w:val="Noklusjumarindkopasfonts"/>
    <w:rsid w:val="005754A7"/>
  </w:style>
  <w:style w:type="character" w:styleId="Izclums">
    <w:name w:val="Emphasis"/>
    <w:basedOn w:val="Noklusjumarindkopasfonts"/>
    <w:uiPriority w:val="20"/>
    <w:qFormat/>
    <w:rsid w:val="005754A7"/>
    <w:rPr>
      <w:i/>
      <w:iCs/>
    </w:rPr>
  </w:style>
  <w:style w:type="paragraph" w:styleId="Sarakstarindkopa">
    <w:name w:val="List Paragraph"/>
    <w:basedOn w:val="Parasts"/>
    <w:uiPriority w:val="34"/>
    <w:qFormat/>
    <w:rsid w:val="000847A3"/>
    <w:pPr>
      <w:ind w:left="720"/>
      <w:contextualSpacing/>
    </w:pPr>
  </w:style>
  <w:style w:type="paragraph" w:styleId="Pamatteksts3">
    <w:name w:val="Body Text 3"/>
    <w:basedOn w:val="Parasts"/>
    <w:link w:val="Pamatteksts3Rakstz"/>
    <w:rsid w:val="00B16C6A"/>
    <w:pPr>
      <w:jc w:val="center"/>
    </w:pPr>
    <w:rPr>
      <w:b/>
      <w:bCs/>
      <w:sz w:val="26"/>
      <w:lang w:val="lv-LV"/>
    </w:rPr>
  </w:style>
  <w:style w:type="character" w:customStyle="1" w:styleId="Pamatteksts3Rakstz">
    <w:name w:val="Pamatteksts 3 Rakstz."/>
    <w:basedOn w:val="Noklusjumarindkopasfonts"/>
    <w:link w:val="Pamatteksts3"/>
    <w:rsid w:val="00B16C6A"/>
    <w:rPr>
      <w:rFonts w:ascii="Times New Roman" w:eastAsia="Times New Roman" w:hAnsi="Times New Roman" w:cs="Times New Roman"/>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3547">
      <w:bodyDiv w:val="1"/>
      <w:marLeft w:val="0"/>
      <w:marRight w:val="0"/>
      <w:marTop w:val="0"/>
      <w:marBottom w:val="0"/>
      <w:divBdr>
        <w:top w:val="none" w:sz="0" w:space="0" w:color="auto"/>
        <w:left w:val="none" w:sz="0" w:space="0" w:color="auto"/>
        <w:bottom w:val="none" w:sz="0" w:space="0" w:color="auto"/>
        <w:right w:val="none" w:sz="0" w:space="0" w:color="auto"/>
      </w:divBdr>
    </w:div>
    <w:div w:id="93522368">
      <w:bodyDiv w:val="1"/>
      <w:marLeft w:val="0"/>
      <w:marRight w:val="0"/>
      <w:marTop w:val="0"/>
      <w:marBottom w:val="0"/>
      <w:divBdr>
        <w:top w:val="none" w:sz="0" w:space="0" w:color="auto"/>
        <w:left w:val="none" w:sz="0" w:space="0" w:color="auto"/>
        <w:bottom w:val="none" w:sz="0" w:space="0" w:color="auto"/>
        <w:right w:val="none" w:sz="0" w:space="0" w:color="auto"/>
      </w:divBdr>
    </w:div>
    <w:div w:id="699664510">
      <w:bodyDiv w:val="1"/>
      <w:marLeft w:val="0"/>
      <w:marRight w:val="0"/>
      <w:marTop w:val="0"/>
      <w:marBottom w:val="0"/>
      <w:divBdr>
        <w:top w:val="none" w:sz="0" w:space="0" w:color="auto"/>
        <w:left w:val="none" w:sz="0" w:space="0" w:color="auto"/>
        <w:bottom w:val="none" w:sz="0" w:space="0" w:color="auto"/>
        <w:right w:val="none" w:sz="0" w:space="0" w:color="auto"/>
      </w:divBdr>
    </w:div>
    <w:div w:id="732388427">
      <w:bodyDiv w:val="1"/>
      <w:marLeft w:val="0"/>
      <w:marRight w:val="0"/>
      <w:marTop w:val="0"/>
      <w:marBottom w:val="0"/>
      <w:divBdr>
        <w:top w:val="none" w:sz="0" w:space="0" w:color="auto"/>
        <w:left w:val="none" w:sz="0" w:space="0" w:color="auto"/>
        <w:bottom w:val="none" w:sz="0" w:space="0" w:color="auto"/>
        <w:right w:val="none" w:sz="0" w:space="0" w:color="auto"/>
      </w:divBdr>
    </w:div>
    <w:div w:id="1368138380">
      <w:bodyDiv w:val="1"/>
      <w:marLeft w:val="0"/>
      <w:marRight w:val="0"/>
      <w:marTop w:val="0"/>
      <w:marBottom w:val="0"/>
      <w:divBdr>
        <w:top w:val="none" w:sz="0" w:space="0" w:color="auto"/>
        <w:left w:val="none" w:sz="0" w:space="0" w:color="auto"/>
        <w:bottom w:val="none" w:sz="0" w:space="0" w:color="auto"/>
        <w:right w:val="none" w:sz="0" w:space="0" w:color="auto"/>
      </w:divBdr>
    </w:div>
    <w:div w:id="1407265660">
      <w:bodyDiv w:val="1"/>
      <w:marLeft w:val="0"/>
      <w:marRight w:val="0"/>
      <w:marTop w:val="0"/>
      <w:marBottom w:val="0"/>
      <w:divBdr>
        <w:top w:val="none" w:sz="0" w:space="0" w:color="auto"/>
        <w:left w:val="none" w:sz="0" w:space="0" w:color="auto"/>
        <w:bottom w:val="none" w:sz="0" w:space="0" w:color="auto"/>
        <w:right w:val="none" w:sz="0" w:space="0" w:color="auto"/>
      </w:divBdr>
    </w:div>
    <w:div w:id="1584488573">
      <w:bodyDiv w:val="1"/>
      <w:marLeft w:val="0"/>
      <w:marRight w:val="0"/>
      <w:marTop w:val="0"/>
      <w:marBottom w:val="0"/>
      <w:divBdr>
        <w:top w:val="none" w:sz="0" w:space="0" w:color="auto"/>
        <w:left w:val="none" w:sz="0" w:space="0" w:color="auto"/>
        <w:bottom w:val="none" w:sz="0" w:space="0" w:color="auto"/>
        <w:right w:val="none" w:sz="0" w:space="0" w:color="auto"/>
      </w:divBdr>
    </w:div>
    <w:div w:id="1837375380">
      <w:bodyDiv w:val="1"/>
      <w:marLeft w:val="0"/>
      <w:marRight w:val="0"/>
      <w:marTop w:val="0"/>
      <w:marBottom w:val="0"/>
      <w:divBdr>
        <w:top w:val="none" w:sz="0" w:space="0" w:color="auto"/>
        <w:left w:val="none" w:sz="0" w:space="0" w:color="auto"/>
        <w:bottom w:val="none" w:sz="0" w:space="0" w:color="auto"/>
        <w:right w:val="none" w:sz="0" w:space="0" w:color="auto"/>
      </w:divBdr>
    </w:div>
    <w:div w:id="1893420167">
      <w:bodyDiv w:val="1"/>
      <w:marLeft w:val="0"/>
      <w:marRight w:val="0"/>
      <w:marTop w:val="0"/>
      <w:marBottom w:val="0"/>
      <w:divBdr>
        <w:top w:val="none" w:sz="0" w:space="0" w:color="auto"/>
        <w:left w:val="none" w:sz="0" w:space="0" w:color="auto"/>
        <w:bottom w:val="none" w:sz="0" w:space="0" w:color="auto"/>
        <w:right w:val="none" w:sz="0" w:space="0" w:color="auto"/>
      </w:divBdr>
    </w:div>
    <w:div w:id="1970356032">
      <w:bodyDiv w:val="1"/>
      <w:marLeft w:val="0"/>
      <w:marRight w:val="0"/>
      <w:marTop w:val="0"/>
      <w:marBottom w:val="0"/>
      <w:divBdr>
        <w:top w:val="none" w:sz="0" w:space="0" w:color="auto"/>
        <w:left w:val="none" w:sz="0" w:space="0" w:color="auto"/>
        <w:bottom w:val="none" w:sz="0" w:space="0" w:color="auto"/>
        <w:right w:val="none" w:sz="0" w:space="0" w:color="auto"/>
      </w:divBdr>
    </w:div>
    <w:div w:id="202716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1924</Words>
  <Characters>1098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Gerdele</dc:creator>
  <cp:keywords/>
  <dc:description/>
  <cp:lastModifiedBy>Olga Gerdele</cp:lastModifiedBy>
  <cp:revision>9</cp:revision>
  <cp:lastPrinted>2021-07-27T08:50:00Z</cp:lastPrinted>
  <dcterms:created xsi:type="dcterms:W3CDTF">2022-01-14T07:36:00Z</dcterms:created>
  <dcterms:modified xsi:type="dcterms:W3CDTF">2022-01-14T11:30:00Z</dcterms:modified>
</cp:coreProperties>
</file>